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Lens 1 worksheet: material-and-provenance map</w:t>
      </w:r>
    </w:p>
    <w:p>
      <w:pPr>
        <w:pStyle w:val="Subtitle"/>
      </w:pPr>
      <w:r>
        <w:t xml:space="preserve">Stochastic Parrots and Beyond · Lens 1 worksheet</w:t>
      </w:r>
    </w:p>
    <w:p>
      <w:pPr>
        <w:pStyle w:val="FirstParagraph"/>
      </w:pPr>
      <w:r>
        <w:rPr>
          <w:b/>
          <w:bCs/>
        </w:rPr>
        <w:t xml:space="preserve">Question:</w:t>
      </w:r>
      <w:r>
        <w:t xml:space="preserve"> </w:t>
      </w:r>
      <w:r>
        <w:t xml:space="preserve">Which environmental and data choices are hidden by a model’s apparent performance?</w:t>
      </w:r>
    </w:p>
    <w:p>
      <w:pPr>
        <w:pStyle w:val="BodyText"/>
      </w:pPr>
      <w:r>
        <w:rPr>
          <w:b/>
          <w:bCs/>
        </w:rPr>
        <w:t xml:space="preserve">Task (15 minutes, groups of three or four):</w:t>
      </w:r>
      <w:r>
        <w:t xml:space="preserve"> </w:t>
      </w:r>
      <w:r>
        <w:t xml:space="preserve">Choose a system from a research-use description in your group. Use BLOOM only if no description fits. For each stage, note what is known, what is unknown, and what is avoidable. Note the source of each entry. Mark the largest unknown and one avoidable cost. Complete the sentence:</w:t>
      </w:r>
      <w:r>
        <w:t xml:space="preserve"> </w:t>
      </w:r>
      <w:r>
        <w:t xml:space="preserve">“The choice that the performance of this system hides most is …”</w:t>
      </w:r>
      <w:r>
        <w:t xml:space="preserve"> </w:t>
      </w:r>
      <w:r>
        <w:t xml:space="preserve">See the</w:t>
      </w:r>
      <w:r>
        <w:t xml:space="preserve"> </w:t>
      </w:r>
      <w:hyperlink r:id="rId9">
        <w:r>
          <w:rPr>
            <w:rStyle w:val="Hyperlink"/>
          </w:rPr>
          <w:t xml:space="preserve">Lens 1 page</w:t>
        </w:r>
      </w:hyperlink>
      <w:r>
        <w:t xml:space="preserve">.</w:t>
      </w:r>
    </w:p>
    <w:p>
      <w:pPr>
        <w:pStyle w:val="BodyText"/>
      </w:pPr>
      <w:r>
        <w:t xml:space="preserve">System: ______________________________________________</w:t>
      </w:r>
    </w:p>
    <w:p>
      <w:pPr>
        <w:pStyle w:val="TableCaption"/>
      </w:pPr>
      <w:r>
        <w:t xml:space="preserve">Material-and-provenance map</w:t>
      </w:r>
    </w:p>
    <w:tbl>
      <w:tblPr>
        <w:tblStyle w:val="Table"/>
        <w:tblW w:type="pct" w:w="5000"/>
        <w:tblLayout w:type="fixed"/>
        <w:tblLook w:firstRow="1" w:lastRow="0" w:firstColumn="0" w:lastColumn="0" w:noHBand="0" w:noVBand="0" w:val="0020"/>
        <w:tblCaption w:val="Material-and-provenance map"/>
      </w:tblPr>
      <w:tblGrid>
        <w:gridCol w:w="1504"/>
        <w:gridCol w:w="2138"/>
        <w:gridCol w:w="2138"/>
        <w:gridCol w:w="2138"/>
      </w:tblGrid>
      <w:tr>
        <w:trPr>
          <w:tblHeader w:val="on"/>
        </w:trPr>
        <w:tc>
          <w:tcPr/>
          <w:p>
            <w:pPr>
              <w:pStyle w:val="Compact"/>
            </w:pPr>
            <w:r>
              <w:t xml:space="preserve">Stage</w:t>
            </w:r>
          </w:p>
        </w:tc>
        <w:tc>
          <w:tcPr/>
          <w:p>
            <w:pPr>
              <w:pStyle w:val="Compact"/>
            </w:pPr>
            <w:r>
              <w:t xml:space="preserve">Known (with source)</w:t>
            </w:r>
          </w:p>
        </w:tc>
        <w:tc>
          <w:tcPr/>
          <w:p>
            <w:pPr>
              <w:pStyle w:val="Compact"/>
            </w:pPr>
            <w:r>
              <w:t xml:space="preserve">Unknown</w:t>
            </w:r>
          </w:p>
        </w:tc>
        <w:tc>
          <w:tcPr/>
          <w:p>
            <w:pPr>
              <w:pStyle w:val="Compact"/>
            </w:pPr>
            <w:r>
              <w:t xml:space="preserve">Avoidable</w:t>
            </w:r>
          </w:p>
        </w:tc>
      </w:tr>
      <w:tr>
        <w:tc>
          <w:tcPr/>
          <w:p>
            <w:pPr>
              <w:pStyle w:val="Compact"/>
            </w:pPr>
            <w:r>
              <w:t xml:space="preserve">Data sources</w:t>
            </w:r>
          </w:p>
        </w:tc>
        <w:tc>
          <w:tcPr/>
          <w:p>
            <w:pPr>
              <w:pStyle w:val="Compact"/>
            </w:pPr>
          </w:p>
        </w:tc>
        <w:tc>
          <w:tcPr/>
          <w:p>
            <w:pPr>
              <w:pStyle w:val="Compact"/>
            </w:pPr>
          </w:p>
        </w:tc>
        <w:tc>
          <w:tcPr/>
          <w:p>
            <w:pPr>
              <w:pStyle w:val="Compact"/>
            </w:pPr>
          </w:p>
        </w:tc>
      </w:tr>
      <w:tr>
        <w:tc>
          <w:tcPr/>
          <w:p>
            <w:pPr>
              <w:pStyle w:val="Compact"/>
            </w:pPr>
            <w:r>
              <w:t xml:space="preserve">Collection and filtering</w:t>
            </w:r>
          </w:p>
        </w:tc>
        <w:tc>
          <w:tcPr/>
          <w:p>
            <w:pPr>
              <w:pStyle w:val="Compact"/>
            </w:pPr>
          </w:p>
        </w:tc>
        <w:tc>
          <w:tcPr/>
          <w:p>
            <w:pPr>
              <w:pStyle w:val="Compact"/>
            </w:pPr>
          </w:p>
        </w:tc>
        <w:tc>
          <w:tcPr/>
          <w:p>
            <w:pPr>
              <w:pStyle w:val="Compact"/>
            </w:pPr>
          </w:p>
        </w:tc>
      </w:tr>
      <w:tr>
        <w:tc>
          <w:tcPr/>
          <w:p>
            <w:pPr>
              <w:pStyle w:val="Compact"/>
            </w:pPr>
            <w:r>
              <w:t xml:space="preserve">Training</w:t>
            </w:r>
          </w:p>
        </w:tc>
        <w:tc>
          <w:tcPr/>
          <w:p>
            <w:pPr>
              <w:pStyle w:val="Compact"/>
            </w:pPr>
          </w:p>
        </w:tc>
        <w:tc>
          <w:tcPr/>
          <w:p>
            <w:pPr>
              <w:pStyle w:val="Compact"/>
            </w:pPr>
          </w:p>
        </w:tc>
        <w:tc>
          <w:tcPr/>
          <w:p>
            <w:pPr>
              <w:pStyle w:val="Compact"/>
            </w:pPr>
          </w:p>
        </w:tc>
      </w:tr>
      <w:tr>
        <w:tc>
          <w:tcPr/>
          <w:p>
            <w:pPr>
              <w:pStyle w:val="Compact"/>
            </w:pPr>
            <w:r>
              <w:t xml:space="preserve">Hardware and location</w:t>
            </w:r>
          </w:p>
        </w:tc>
        <w:tc>
          <w:tcPr/>
          <w:p>
            <w:pPr>
              <w:pStyle w:val="Compact"/>
            </w:pPr>
          </w:p>
        </w:tc>
        <w:tc>
          <w:tcPr/>
          <w:p>
            <w:pPr>
              <w:pStyle w:val="Compact"/>
            </w:pPr>
          </w:p>
        </w:tc>
        <w:tc>
          <w:tcPr/>
          <w:p>
            <w:pPr>
              <w:pStyle w:val="Compact"/>
            </w:pPr>
          </w:p>
        </w:tc>
      </w:tr>
      <w:tr>
        <w:tc>
          <w:tcPr/>
          <w:p>
            <w:pPr>
              <w:pStyle w:val="Compact"/>
            </w:pPr>
            <w:r>
              <w:t xml:space="preserve">Deployment and use</w:t>
            </w:r>
          </w:p>
        </w:tc>
        <w:tc>
          <w:tcPr/>
          <w:p>
            <w:pPr>
              <w:pStyle w:val="Compact"/>
            </w:pPr>
          </w:p>
        </w:tc>
        <w:tc>
          <w:tcPr/>
          <w:p>
            <w:pPr>
              <w:pStyle w:val="Compact"/>
            </w:pPr>
          </w:p>
        </w:tc>
        <w:tc>
          <w:tcPr/>
          <w:p>
            <w:pPr>
              <w:pStyle w:val="Compact"/>
            </w:pPr>
          </w:p>
        </w:tc>
      </w:tr>
      <w:tr>
        <w:tc>
          <w:tcPr/>
          <w:p>
            <w:pPr>
              <w:pStyle w:val="Compact"/>
            </w:pPr>
            <w:r>
              <w:t xml:space="preserve">Your own use</w:t>
            </w:r>
          </w:p>
        </w:tc>
        <w:tc>
          <w:tcPr/>
          <w:p>
            <w:pPr>
              <w:pStyle w:val="Compact"/>
            </w:pPr>
          </w:p>
        </w:tc>
        <w:tc>
          <w:tcPr/>
          <w:p>
            <w:pPr>
              <w:pStyle w:val="Compact"/>
            </w:pPr>
          </w:p>
        </w:tc>
        <w:tc>
          <w:tcPr/>
          <w:p>
            <w:pPr>
              <w:pStyle w:val="Compact"/>
            </w:pPr>
          </w:p>
        </w:tc>
      </w:tr>
    </w:tbl>
    <w:p>
      <w:pPr>
        <w:pStyle w:val="TableCaption"/>
      </w:pPr>
      <w:r>
        <w:t xml:space="preserve">Findings for the plenary</w:t>
      </w:r>
    </w:p>
    <w:tbl>
      <w:tblPr>
        <w:tblStyle w:val="Table"/>
        <w:tblW w:type="pct" w:w="5000"/>
        <w:tblLayout w:type="fixed"/>
        <w:tblLook w:firstRow="1" w:lastRow="0" w:firstColumn="0" w:lastColumn="0" w:noHBand="0" w:noVBand="0" w:val="0020"/>
        <w:tblCaption w:val="Findings for the plenary"/>
      </w:tblPr>
      <w:tblGrid>
        <w:gridCol w:w="2772"/>
        <w:gridCol w:w="5148"/>
      </w:tblGrid>
      <w:tr>
        <w:trPr>
          <w:tblHeader w:val="on"/>
        </w:trPr>
        <w:tc>
          <w:tcPr/>
          <w:p>
            <w:pPr>
              <w:pStyle w:val="Compact"/>
            </w:pPr>
            <w:r>
              <w:t xml:space="preserve">Finding</w:t>
            </w:r>
          </w:p>
        </w:tc>
        <w:tc>
          <w:tcPr/>
          <w:p>
            <w:pPr>
              <w:pStyle w:val="Compact"/>
            </w:pPr>
            <w:r>
              <w:t xml:space="preserve">Notes</w:t>
            </w:r>
          </w:p>
        </w:tc>
      </w:tr>
      <w:tr>
        <w:tc>
          <w:tcPr/>
          <w:p>
            <w:pPr>
              <w:pStyle w:val="Compact"/>
            </w:pPr>
            <w:r>
              <w:t xml:space="preserve">The largest unknown</w:t>
            </w:r>
          </w:p>
        </w:tc>
        <w:tc>
          <w:tcPr/>
          <w:p>
            <w:pPr>
              <w:pStyle w:val="Compact"/>
            </w:pPr>
          </w:p>
        </w:tc>
      </w:tr>
      <w:tr>
        <w:tc>
          <w:tcPr/>
          <w:p>
            <w:pPr>
              <w:pStyle w:val="Compact"/>
            </w:pPr>
            <w:r>
              <w:t xml:space="preserve">One avoidable cost</w:t>
            </w:r>
          </w:p>
        </w:tc>
        <w:tc>
          <w:tcPr/>
          <w:p>
            <w:pPr>
              <w:pStyle w:val="Compact"/>
            </w:pPr>
          </w:p>
        </w:tc>
      </w:tr>
      <w:tr>
        <w:tc>
          <w:tcPr/>
          <w:p>
            <w:pPr>
              <w:pStyle w:val="Compact"/>
            </w:pPr>
            <w:r>
              <w:t xml:space="preserve">Sentence for the plenary</w:t>
            </w:r>
          </w:p>
        </w:tc>
        <w:tc>
          <w:tcPr/>
          <w:p>
            <w:pPr>
              <w:pStyle w:val="Compact"/>
            </w:pPr>
          </w:p>
        </w:tc>
      </w:tr>
    </w:tbl>
    <w:bookmarkStart w:id="11" w:name="transfer-to-the-shared-fields"/>
    <w:p>
      <w:pPr>
        <w:pStyle w:val="Heading2"/>
      </w:pPr>
      <w:r>
        <w:t xml:space="preserve">Transfer to the shared fields</w:t>
      </w:r>
    </w:p>
    <w:p>
      <w:pPr>
        <w:pStyle w:val="FirstParagraph"/>
      </w:pPr>
      <w:r>
        <w:t xml:space="preserve">Carry your main finding over to the twelve shared fields. You use them again in the research-use clinic.</w:t>
      </w:r>
    </w:p>
    <w:p>
      <w:pPr>
        <w:pStyle w:val="TableCaption"/>
      </w:pPr>
      <w:r>
        <w:t xml:space="preserve">The twelve shared worksheet fields</w:t>
      </w:r>
    </w:p>
    <w:tbl>
      <w:tblPr>
        <w:tblStyle w:val="Table"/>
        <w:tblW w:type="pct" w:w="5000"/>
        <w:tblLayout w:type="fixed"/>
        <w:tblLook w:firstRow="1" w:lastRow="0" w:firstColumn="0" w:lastColumn="0" w:noHBand="0" w:noVBand="0" w:val="0020"/>
        <w:tblCaption w:val="The twelve shared worksheet fields"/>
      </w:tblPr>
      <w:tblGrid>
        <w:gridCol w:w="2217"/>
        <w:gridCol w:w="5702"/>
      </w:tblGrid>
      <w:tr>
        <w:trPr>
          <w:tblHeader w:val="on"/>
        </w:trPr>
        <w:tc>
          <w:tcPr/>
          <w:p>
            <w:pPr>
              <w:pStyle w:val="Compact"/>
            </w:pPr>
            <w:r>
              <w:t xml:space="preserve">Field</w:t>
            </w:r>
          </w:p>
        </w:tc>
        <w:tc>
          <w:tcPr/>
          <w:p>
            <w:pPr>
              <w:pStyle w:val="Compact"/>
            </w:pPr>
            <w:r>
              <w:t xml:space="preserve">Notes</w:t>
            </w:r>
          </w:p>
        </w:tc>
      </w:tr>
      <w:tr>
        <w:tc>
          <w:tcPr/>
          <w:p>
            <w:pPr>
              <w:pStyle w:val="Compact"/>
            </w:pPr>
            <w:r>
              <w:t xml:space="preserve">Research use</w:t>
            </w:r>
          </w:p>
        </w:tc>
        <w:tc>
          <w:tcPr/>
          <w:p>
            <w:pPr>
              <w:pStyle w:val="Compact"/>
            </w:pPr>
          </w:p>
        </w:tc>
      </w:tr>
      <w:tr>
        <w:tc>
          <w:tcPr/>
          <w:p>
            <w:pPr>
              <w:pStyle w:val="Compact"/>
            </w:pPr>
            <w:r>
              <w:t xml:space="preserve">System or vendor</w:t>
            </w:r>
          </w:p>
        </w:tc>
        <w:tc>
          <w:tcPr/>
          <w:p>
            <w:pPr>
              <w:pStyle w:val="Compact"/>
            </w:pPr>
          </w:p>
        </w:tc>
      </w:tr>
      <w:tr>
        <w:tc>
          <w:tcPr/>
          <w:p>
            <w:pPr>
              <w:pStyle w:val="Compact"/>
            </w:pPr>
            <w:r>
              <w:t xml:space="preserve">Evidence source</w:t>
            </w:r>
          </w:p>
        </w:tc>
        <w:tc>
          <w:tcPr/>
          <w:p>
            <w:pPr>
              <w:pStyle w:val="Compact"/>
            </w:pPr>
          </w:p>
        </w:tc>
      </w:tr>
      <w:tr>
        <w:tc>
          <w:tcPr/>
          <w:p>
            <w:pPr>
              <w:pStyle w:val="Compact"/>
            </w:pPr>
            <w:r>
              <w:t xml:space="preserve">Lifecycle stage</w:t>
            </w:r>
          </w:p>
        </w:tc>
        <w:tc>
          <w:tcPr/>
          <w:p>
            <w:pPr>
              <w:pStyle w:val="Compact"/>
            </w:pPr>
          </w:p>
        </w:tc>
      </w:tr>
      <w:tr>
        <w:tc>
          <w:tcPr/>
          <w:p>
            <w:pPr>
              <w:pStyle w:val="Compact"/>
            </w:pPr>
            <w:r>
              <w:t xml:space="preserve">People affected</w:t>
            </w:r>
          </w:p>
        </w:tc>
        <w:tc>
          <w:tcPr/>
          <w:p>
            <w:pPr>
              <w:pStyle w:val="Compact"/>
            </w:pPr>
          </w:p>
        </w:tc>
      </w:tr>
      <w:tr>
        <w:tc>
          <w:tcPr/>
          <w:p>
            <w:pPr>
              <w:pStyle w:val="Compact"/>
            </w:pPr>
            <w:r>
              <w:t xml:space="preserve">Risk or benefit</w:t>
            </w:r>
          </w:p>
        </w:tc>
        <w:tc>
          <w:tcPr/>
          <w:p>
            <w:pPr>
              <w:pStyle w:val="Compact"/>
            </w:pPr>
          </w:p>
        </w:tc>
      </w:tr>
      <w:tr>
        <w:tc>
          <w:tcPr/>
          <w:p>
            <w:pPr>
              <w:pStyle w:val="Compact"/>
            </w:pPr>
            <w:r>
              <w:t xml:space="preserve">Severity and uncertainty</w:t>
            </w:r>
          </w:p>
        </w:tc>
        <w:tc>
          <w:tcPr/>
          <w:p>
            <w:pPr>
              <w:pStyle w:val="Compact"/>
            </w:pPr>
          </w:p>
        </w:tc>
      </w:tr>
      <w:tr>
        <w:tc>
          <w:tcPr/>
          <w:p>
            <w:pPr>
              <w:pStyle w:val="Compact"/>
            </w:pPr>
            <w:r>
              <w:t xml:space="preserve">Existing mitigation</w:t>
            </w:r>
          </w:p>
        </w:tc>
        <w:tc>
          <w:tcPr/>
          <w:p>
            <w:pPr>
              <w:pStyle w:val="Compact"/>
            </w:pPr>
          </w:p>
        </w:tc>
      </w:tr>
      <w:tr>
        <w:tc>
          <w:tcPr/>
          <w:p>
            <w:pPr>
              <w:pStyle w:val="Compact"/>
            </w:pPr>
            <w:r>
              <w:t xml:space="preserve">Possible alternative</w:t>
            </w:r>
          </w:p>
        </w:tc>
        <w:tc>
          <w:tcPr/>
          <w:p>
            <w:pPr>
              <w:pStyle w:val="Compact"/>
            </w:pPr>
          </w:p>
        </w:tc>
      </w:tr>
      <w:tr>
        <w:tc>
          <w:tcPr/>
          <w:p>
            <w:pPr>
              <w:pStyle w:val="Compact"/>
            </w:pPr>
            <w:r>
              <w:t xml:space="preserve">Disclosure requirement</w:t>
            </w:r>
          </w:p>
        </w:tc>
        <w:tc>
          <w:tcPr/>
          <w:p>
            <w:pPr>
              <w:pStyle w:val="Compact"/>
            </w:pPr>
          </w:p>
        </w:tc>
      </w:tr>
      <w:tr>
        <w:tc>
          <w:tcPr/>
          <w:p>
            <w:pPr>
              <w:pStyle w:val="Compact"/>
            </w:pPr>
            <w:r>
              <w:t xml:space="preserve">Institutional owner</w:t>
            </w:r>
          </w:p>
        </w:tc>
        <w:tc>
          <w:tcPr/>
          <w:p>
            <w:pPr>
              <w:pStyle w:val="Compact"/>
            </w:pPr>
          </w:p>
        </w:tc>
      </w:tr>
      <w:tr>
        <w:tc>
          <w:tcPr/>
          <w:p>
            <w:pPr>
              <w:pStyle w:val="Compact"/>
            </w:pPr>
            <w:r>
              <w:t xml:space="preserve">Next action</w:t>
            </w:r>
          </w:p>
        </w:tc>
        <w:tc>
          <w:tcPr/>
          <w:p>
            <w:pPr>
              <w:pStyle w:val="Compact"/>
            </w:pPr>
          </w:p>
        </w:tc>
      </w:tr>
    </w:tbl>
    <w:p>
      <w:pPr>
        <w:pStyle w:val="BodyText"/>
      </w:pPr>
      <w:r>
        <w:t xml:space="preserve">Original handout,</w:t>
      </w:r>
      <w:r>
        <w:t xml:space="preserve"> </w:t>
      </w:r>
      <w:hyperlink r:id="rId10">
        <w:r>
          <w:rPr>
            <w:rStyle w:val="Hyperlink"/>
          </w:rPr>
          <w:t xml:space="preserve">CC BY 4.0</w:t>
        </w:r>
      </w:hyperlink>
      <w:r>
        <w:t xml:space="preserve"> </w:t>
      </w:r>
      <w:r>
        <w:t xml:space="preserve">· Stochastic Parrots and Beyond, Laura Wagner and Moritz Mähr.</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0"/>
        <w:left w:type="dxa" w:w="108"/>
        <w:bottom w:type="dxa" w:w="0"/>
        <w:right w:type="dxa" w:w="108"/>
      </w:tblCellMar>
    </w:tblPr>
    <w:trPr>
      <w:trHeight w:hRule="atLeast" w:val="510"/>
    </w:tr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lenses/01-scale.qmd" TargetMode="External" /><Relationship Type="http://schemas.openxmlformats.org/officeDocument/2006/relationships/hyperlink" Id="rId10" Target="https://creativecommons.org/licenses/by/4.0/" TargetMode="External" /></Relationships>
</file>

<file path=word/_rels/footnotes.xml.rels><?xml version="1.0" encoding="UTF-8"?><Relationships xmlns="http://schemas.openxmlformats.org/package/2006/relationships"><Relationship Type="http://schemas.openxmlformats.org/officeDocument/2006/relationships/hyperlink" Id="rId9" Target="../lenses/01-scale.qmd" TargetMode="External" /><Relationship Type="http://schemas.openxmlformats.org/officeDocument/2006/relationships/hyperlink" Id="rId10" Target="https://creativecommons.org/licenses/by/4.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Lens 1 worksheet: material-and-provenance map</dc:title>
  <dc:creator/>
  <dc:description>Trace one model or use case from its data sources to its use. Note what is known, unknown, and avoidable.</dc:description>
  <dc:language>en-US</dc:language>
  <cp:keywords/>
  <dcterms:created xsi:type="dcterms:W3CDTF">2026-10-15T09:39:36Z</dcterms:created>
  <dcterms:modified xsi:type="dcterms:W3CDTF">2026-10-15T09:39:36Z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date-format">
    <vt:lpwstr>D MMMM YYYY</vt:lpwstr>
  </property>
  <property fmtid="{D5CDD505-2E9C-101B-9397-08002B2CF9AE}" pid="5" name="date-modified">
    <vt:lpwstr>15 October 2026</vt:lpwstr>
  </property>
  <property fmtid="{D5CDD505-2E9C-101B-9397-08002B2CF9AE}" pid="6" name="editions">
    <vt:lpwstr/>
  </property>
  <property fmtid="{D5CDD505-2E9C-101B-9397-08002B2CF9AE}" pid="7" name="editor">
    <vt:lpwstr>visual</vt:lpwstr>
  </property>
  <property fmtid="{D5CDD505-2E9C-101B-9397-08002B2CF9AE}" pid="8" name="featured_edition">
    <vt:lpwstr>hs2026</vt:lpwstr>
  </property>
  <property fmtid="{D5CDD505-2E9C-101B-9397-08002B2CF9AE}" pid="9" name="fontsize">
    <vt:lpwstr>10.5pt</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cense">
    <vt:lpwstr/>
  </property>
  <property fmtid="{D5CDD505-2E9C-101B-9397-08002B2CF9AE}" pid="15" name="link-citations">
    <vt:lpwstr>False</vt:lpwstr>
  </property>
  <property fmtid="{D5CDD505-2E9C-101B-9397-08002B2CF9AE}" pid="16" name="mainfont">
    <vt:lpwstr>IBM Plex Sans</vt:lpwstr>
  </property>
  <property fmtid="{D5CDD505-2E9C-101B-9397-08002B2CF9AE}" pid="17" name="margin">
    <vt:lpwstr/>
  </property>
  <property fmtid="{D5CDD505-2E9C-101B-9397-08002B2CF9AE}" pid="18" name="papersize">
    <vt:lpwstr>a4</vt:lpwstr>
  </property>
  <property fmtid="{D5CDD505-2E9C-101B-9397-08002B2CF9AE}" pid="19" name="subtitle">
    <vt:lpwstr>Stochastic Parrots and Beyond · Lens 1 worksheet</vt:lpwstr>
  </property>
  <property fmtid="{D5CDD505-2E9C-101B-9397-08002B2CF9AE}" pid="20" name="suppress-bibliography">
    <vt:lpwstr>True</vt:lpwstr>
  </property>
  <property fmtid="{D5CDD505-2E9C-101B-9397-08002B2CF9AE}" pid="21" name="toc-title">
    <vt:lpwstr>Table of contents</vt:lpwstr>
  </property>
</Properties>
</file>