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Lens 2 worksheet: representation and harm pathway</w:t>
      </w:r>
    </w:p>
    <w:p>
      <w:pPr>
        <w:pStyle w:val="Subtitle"/>
      </w:pPr>
      <w:r>
        <w:t xml:space="preserve">Stochastic Parrots and Beyond · Lens 2 worksheet</w:t>
      </w:r>
    </w:p>
    <w:p>
      <w:pPr>
        <w:pStyle w:val="FirstParagraph"/>
      </w:pPr>
      <w:r>
        <w:rPr>
          <w:b/>
          <w:bCs/>
        </w:rPr>
        <w:t xml:space="preserve">Question:</w:t>
      </w:r>
      <w:r>
        <w:t xml:space="preserve"> </w:t>
      </w:r>
      <w:r>
        <w:t xml:space="preserve">Whose perspectives become normal and whose are displaced?</w:t>
      </w:r>
    </w:p>
    <w:p>
      <w:pPr>
        <w:pStyle w:val="BodyText"/>
      </w:pPr>
      <w:r>
        <w:rPr>
          <w:b/>
          <w:bCs/>
        </w:rPr>
        <w:t xml:space="preserve">Task (15 minutes, groups of three or four):</w:t>
      </w:r>
      <w:r>
        <w:t xml:space="preserve"> </w:t>
      </w:r>
      <w:r>
        <w:t xml:space="preserve">Choose a system from a research-use description in your group. Use the LAION-5B pathway only if no description fits. For each step, note who decides, what is selected, what is excluded, and which harm can enter. Do not search for or open harmful images. See the</w:t>
      </w:r>
      <w:r>
        <w:t xml:space="preserve"> </w:t>
      </w:r>
      <w:hyperlink r:id="rId9">
        <w:r>
          <w:rPr>
            <w:rStyle w:val="Hyperlink"/>
          </w:rPr>
          <w:t xml:space="preserve">Lens 2 page</w:t>
        </w:r>
      </w:hyperlink>
      <w:r>
        <w:t xml:space="preserve">.</w:t>
      </w:r>
    </w:p>
    <w:p>
      <w:pPr>
        <w:pStyle w:val="BodyText"/>
      </w:pPr>
      <w:r>
        <w:t xml:space="preserve">Pathway: ______________________________________________</w:t>
      </w:r>
    </w:p>
    <w:p>
      <w:pPr>
        <w:pStyle w:val="TableCaption"/>
      </w:pPr>
      <w:r>
        <w:t xml:space="preserve">Representation and harm pathway</w:t>
      </w:r>
    </w:p>
    <w:tbl>
      <w:tblPr>
        <w:tblStyle w:val="Table"/>
        <w:tblW w:type="pct" w:w="5000"/>
        <w:tblLayout w:type="fixed"/>
        <w:tblLook w:firstRow="1" w:lastRow="0" w:firstColumn="0" w:lastColumn="0" w:noHBand="0" w:noVBand="0" w:val="0020"/>
        <w:tblCaption w:val="Representation and harm pathway"/>
      </w:tblPr>
      <w:tblGrid>
        <w:gridCol w:w="1267"/>
        <w:gridCol w:w="1663"/>
        <w:gridCol w:w="1663"/>
        <w:gridCol w:w="1663"/>
        <w:gridCol w:w="1663"/>
      </w:tblGrid>
      <w:tr>
        <w:trPr>
          <w:tblHeader w:val="on"/>
        </w:trPr>
        <w:tc>
          <w:tcPr/>
          <w:p>
            <w:pPr>
              <w:pStyle w:val="Compact"/>
            </w:pPr>
            <w:r>
              <w:t xml:space="preserve">Step</w:t>
            </w:r>
          </w:p>
        </w:tc>
        <w:tc>
          <w:tcPr/>
          <w:p>
            <w:pPr>
              <w:pStyle w:val="Compact"/>
            </w:pPr>
            <w:r>
              <w:t xml:space="preserve">Who decides</w:t>
            </w:r>
          </w:p>
        </w:tc>
        <w:tc>
          <w:tcPr/>
          <w:p>
            <w:pPr>
              <w:pStyle w:val="Compact"/>
            </w:pPr>
            <w:r>
              <w:t xml:space="preserve">What is selected</w:t>
            </w:r>
          </w:p>
        </w:tc>
        <w:tc>
          <w:tcPr/>
          <w:p>
            <w:pPr>
              <w:pStyle w:val="Compact"/>
            </w:pPr>
            <w:r>
              <w:t xml:space="preserve">What is excluded</w:t>
            </w:r>
          </w:p>
        </w:tc>
        <w:tc>
          <w:tcPr/>
          <w:p>
            <w:pPr>
              <w:pStyle w:val="Compact"/>
            </w:pPr>
            <w:r>
              <w:t xml:space="preserve">Which harm can enter</w:t>
            </w:r>
          </w:p>
        </w:tc>
      </w:tr>
      <w:tr>
        <w:tc>
          <w:tcPr/>
          <w:p>
            <w:pPr>
              <w:pStyle w:val="Compact"/>
            </w:pPr>
            <w:r>
              <w:t xml:space="preserve">1 Sources</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2 Selection or filter</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3 Dataset</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4 Scoring or curation</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5 Model</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6 Outputs and circulation</w:t>
            </w:r>
          </w:p>
        </w:tc>
        <w:tc>
          <w:tcPr/>
          <w:p>
            <w:pPr>
              <w:pStyle w:val="Compact"/>
            </w:pPr>
          </w:p>
        </w:tc>
        <w:tc>
          <w:tcPr/>
          <w:p>
            <w:pPr>
              <w:pStyle w:val="Compact"/>
            </w:pPr>
          </w:p>
        </w:tc>
        <w:tc>
          <w:tcPr/>
          <w:p>
            <w:pPr>
              <w:pStyle w:val="Compact"/>
            </w:pPr>
          </w:p>
        </w:tc>
        <w:tc>
          <w:tcPr/>
          <w:p>
            <w:pPr>
              <w:pStyle w:val="Compact"/>
            </w:pPr>
          </w:p>
        </w:tc>
      </w:tr>
    </w:tbl>
    <w:p>
      <w:pPr>
        <w:pStyle w:val="TableCaption"/>
      </w:pPr>
      <w:r>
        <w:t xml:space="preserve">Findings for the plenary</w:t>
      </w:r>
    </w:p>
    <w:tbl>
      <w:tblPr>
        <w:tblStyle w:val="Table"/>
        <w:tblW w:type="pct" w:w="5000"/>
        <w:tblLayout w:type="fixed"/>
        <w:tblLook w:firstRow="1" w:lastRow="0" w:firstColumn="0" w:lastColumn="0" w:noHBand="0" w:noVBand="0" w:val="0020"/>
        <w:tblCaption w:val="Findings for the plenary"/>
      </w:tblPr>
      <w:tblGrid>
        <w:gridCol w:w="2772"/>
        <w:gridCol w:w="5148"/>
      </w:tblGrid>
      <w:tr>
        <w:trPr>
          <w:tblHeader w:val="on"/>
        </w:trPr>
        <w:tc>
          <w:tcPr/>
          <w:p>
            <w:pPr>
              <w:pStyle w:val="Compact"/>
            </w:pPr>
            <w:r>
              <w:t xml:space="preserve">Finding</w:t>
            </w:r>
          </w:p>
        </w:tc>
        <w:tc>
          <w:tcPr/>
          <w:p>
            <w:pPr>
              <w:pStyle w:val="Compact"/>
            </w:pPr>
            <w:r>
              <w:t xml:space="preserve">Notes</w:t>
            </w:r>
          </w:p>
        </w:tc>
      </w:tr>
      <w:tr>
        <w:tc>
          <w:tcPr/>
          <w:p>
            <w:pPr>
              <w:pStyle w:val="Compact"/>
            </w:pPr>
            <w:r>
              <w:t xml:space="preserve">The riskiest step for your research context</w:t>
            </w:r>
          </w:p>
        </w:tc>
        <w:tc>
          <w:tcPr/>
          <w:p>
            <w:pPr>
              <w:pStyle w:val="Compact"/>
            </w:pPr>
          </w:p>
        </w:tc>
      </w:tr>
      <w:tr>
        <w:tc>
          <w:tcPr/>
          <w:p>
            <w:pPr>
              <w:pStyle w:val="Compact"/>
            </w:pPr>
            <w:r>
              <w:t xml:space="preserve">The people it affects</w:t>
            </w:r>
          </w:p>
        </w:tc>
        <w:tc>
          <w:tcPr/>
          <w:p>
            <w:pPr>
              <w:pStyle w:val="Compact"/>
            </w:pPr>
          </w:p>
        </w:tc>
      </w:tr>
      <w:tr>
        <w:tc>
          <w:tcPr/>
          <w:p>
            <w:pPr>
              <w:pStyle w:val="Compact"/>
            </w:pPr>
            <w:r>
              <w:t xml:space="preserve">One mitigation that a researcher controls</w:t>
            </w:r>
          </w:p>
        </w:tc>
        <w:tc>
          <w:tcPr/>
          <w:p>
            <w:pPr>
              <w:pStyle w:val="Compact"/>
            </w:pPr>
          </w:p>
        </w:tc>
      </w:tr>
    </w:tbl>
    <w:bookmarkStart w:id="11" w:name="transfer-to-the-shared-fields"/>
    <w:p>
      <w:pPr>
        <w:pStyle w:val="Heading2"/>
      </w:pPr>
      <w:r>
        <w:t xml:space="preserve">Transfer to the shared fields</w:t>
      </w:r>
    </w:p>
    <w:p>
      <w:pPr>
        <w:pStyle w:val="FirstParagraph"/>
      </w:pPr>
      <w:r>
        <w:t xml:space="preserve">Carry your main finding over to the twelve shared fields. You use them again in the research-use clinic.</w:t>
      </w:r>
    </w:p>
    <w:p>
      <w:pPr>
        <w:pStyle w:val="TableCaption"/>
      </w:pPr>
      <w:r>
        <w:t xml:space="preserve">The twelve shared worksheet fields</w:t>
      </w:r>
    </w:p>
    <w:tbl>
      <w:tblPr>
        <w:tblStyle w:val="Table"/>
        <w:tblW w:type="pct" w:w="5000"/>
        <w:tblLayout w:type="fixed"/>
        <w:tblLook w:firstRow="1" w:lastRow="0" w:firstColumn="0" w:lastColumn="0" w:noHBand="0" w:noVBand="0" w:val="0020"/>
        <w:tblCaption w:val="The twelve shared worksheet fields"/>
      </w:tblPr>
      <w:tblGrid>
        <w:gridCol w:w="2217"/>
        <w:gridCol w:w="5702"/>
      </w:tblGrid>
      <w:tr>
        <w:trPr>
          <w:tblHeader w:val="on"/>
        </w:trPr>
        <w:tc>
          <w:tcPr/>
          <w:p>
            <w:pPr>
              <w:pStyle w:val="Compact"/>
            </w:pPr>
            <w:r>
              <w:t xml:space="preserve">Field</w:t>
            </w:r>
          </w:p>
        </w:tc>
        <w:tc>
          <w:tcPr/>
          <w:p>
            <w:pPr>
              <w:pStyle w:val="Compact"/>
            </w:pPr>
            <w:r>
              <w:t xml:space="preserve">Notes</w:t>
            </w:r>
          </w:p>
        </w:tc>
      </w:tr>
      <w:tr>
        <w:tc>
          <w:tcPr/>
          <w:p>
            <w:pPr>
              <w:pStyle w:val="Compact"/>
            </w:pPr>
            <w:r>
              <w:t xml:space="preserve">Research use</w:t>
            </w:r>
          </w:p>
        </w:tc>
        <w:tc>
          <w:tcPr/>
          <w:p>
            <w:pPr>
              <w:pStyle w:val="Compact"/>
            </w:pPr>
          </w:p>
        </w:tc>
      </w:tr>
      <w:tr>
        <w:tc>
          <w:tcPr/>
          <w:p>
            <w:pPr>
              <w:pStyle w:val="Compact"/>
            </w:pPr>
            <w:r>
              <w:t xml:space="preserve">System or vendor</w:t>
            </w:r>
          </w:p>
        </w:tc>
        <w:tc>
          <w:tcPr/>
          <w:p>
            <w:pPr>
              <w:pStyle w:val="Compact"/>
            </w:pPr>
          </w:p>
        </w:tc>
      </w:tr>
      <w:tr>
        <w:tc>
          <w:tcPr/>
          <w:p>
            <w:pPr>
              <w:pStyle w:val="Compact"/>
            </w:pPr>
            <w:r>
              <w:t xml:space="preserve">Evidence source</w:t>
            </w:r>
          </w:p>
        </w:tc>
        <w:tc>
          <w:tcPr/>
          <w:p>
            <w:pPr>
              <w:pStyle w:val="Compact"/>
            </w:pPr>
          </w:p>
        </w:tc>
      </w:tr>
      <w:tr>
        <w:tc>
          <w:tcPr/>
          <w:p>
            <w:pPr>
              <w:pStyle w:val="Compact"/>
            </w:pPr>
            <w:r>
              <w:t xml:space="preserve">Lifecycle stage</w:t>
            </w:r>
          </w:p>
        </w:tc>
        <w:tc>
          <w:tcPr/>
          <w:p>
            <w:pPr>
              <w:pStyle w:val="Compact"/>
            </w:pPr>
          </w:p>
        </w:tc>
      </w:tr>
      <w:tr>
        <w:tc>
          <w:tcPr/>
          <w:p>
            <w:pPr>
              <w:pStyle w:val="Compact"/>
            </w:pPr>
            <w:r>
              <w:t xml:space="preserve">People affected</w:t>
            </w:r>
          </w:p>
        </w:tc>
        <w:tc>
          <w:tcPr/>
          <w:p>
            <w:pPr>
              <w:pStyle w:val="Compact"/>
            </w:pPr>
          </w:p>
        </w:tc>
      </w:tr>
      <w:tr>
        <w:tc>
          <w:tcPr/>
          <w:p>
            <w:pPr>
              <w:pStyle w:val="Compact"/>
            </w:pPr>
            <w:r>
              <w:t xml:space="preserve">Risk or benefit</w:t>
            </w:r>
          </w:p>
        </w:tc>
        <w:tc>
          <w:tcPr/>
          <w:p>
            <w:pPr>
              <w:pStyle w:val="Compact"/>
            </w:pPr>
          </w:p>
        </w:tc>
      </w:tr>
      <w:tr>
        <w:tc>
          <w:tcPr/>
          <w:p>
            <w:pPr>
              <w:pStyle w:val="Compact"/>
            </w:pPr>
            <w:r>
              <w:t xml:space="preserve">Severity and uncertainty</w:t>
            </w:r>
          </w:p>
        </w:tc>
        <w:tc>
          <w:tcPr/>
          <w:p>
            <w:pPr>
              <w:pStyle w:val="Compact"/>
            </w:pPr>
          </w:p>
        </w:tc>
      </w:tr>
      <w:tr>
        <w:tc>
          <w:tcPr/>
          <w:p>
            <w:pPr>
              <w:pStyle w:val="Compact"/>
            </w:pPr>
            <w:r>
              <w:t xml:space="preserve">Existing mitigation</w:t>
            </w:r>
          </w:p>
        </w:tc>
        <w:tc>
          <w:tcPr/>
          <w:p>
            <w:pPr>
              <w:pStyle w:val="Compact"/>
            </w:pPr>
          </w:p>
        </w:tc>
      </w:tr>
      <w:tr>
        <w:tc>
          <w:tcPr/>
          <w:p>
            <w:pPr>
              <w:pStyle w:val="Compact"/>
            </w:pPr>
            <w:r>
              <w:t xml:space="preserve">Possible alternative</w:t>
            </w:r>
          </w:p>
        </w:tc>
        <w:tc>
          <w:tcPr/>
          <w:p>
            <w:pPr>
              <w:pStyle w:val="Compact"/>
            </w:pPr>
          </w:p>
        </w:tc>
      </w:tr>
      <w:tr>
        <w:tc>
          <w:tcPr/>
          <w:p>
            <w:pPr>
              <w:pStyle w:val="Compact"/>
            </w:pPr>
            <w:r>
              <w:t xml:space="preserve">Disclosure requirement</w:t>
            </w:r>
          </w:p>
        </w:tc>
        <w:tc>
          <w:tcPr/>
          <w:p>
            <w:pPr>
              <w:pStyle w:val="Compact"/>
            </w:pPr>
          </w:p>
        </w:tc>
      </w:tr>
      <w:tr>
        <w:tc>
          <w:tcPr/>
          <w:p>
            <w:pPr>
              <w:pStyle w:val="Compact"/>
            </w:pPr>
            <w:r>
              <w:t xml:space="preserve">Institutional owner</w:t>
            </w:r>
          </w:p>
        </w:tc>
        <w:tc>
          <w:tcPr/>
          <w:p>
            <w:pPr>
              <w:pStyle w:val="Compact"/>
            </w:pPr>
          </w:p>
        </w:tc>
      </w:tr>
      <w:tr>
        <w:tc>
          <w:tcPr/>
          <w:p>
            <w:pPr>
              <w:pStyle w:val="Compact"/>
            </w:pPr>
            <w:r>
              <w:t xml:space="preserve">Next action</w:t>
            </w:r>
          </w:p>
        </w:tc>
        <w:tc>
          <w:tcPr/>
          <w:p>
            <w:pPr>
              <w:pStyle w:val="Compact"/>
            </w:pPr>
          </w:p>
        </w:tc>
      </w:tr>
    </w:tbl>
    <w:p>
      <w:pPr>
        <w:pStyle w:val="BodyText"/>
      </w:pPr>
      <w:r>
        <w:t xml:space="preserve">Original handout,</w:t>
      </w:r>
      <w:r>
        <w:t xml:space="preserve"> </w:t>
      </w:r>
      <w:hyperlink r:id="rId10">
        <w:r>
          <w:rPr>
            <w:rStyle w:val="Hyperlink"/>
          </w:rPr>
          <w:t xml:space="preserve">CC BY 4.0</w:t>
        </w:r>
      </w:hyperlink>
      <w:r>
        <w:t xml:space="preserve"> </w:t>
      </w:r>
      <w:r>
        <w:t xml:space="preserve">· Stochastic Parrots and Beyond, Laura Wagner and Moritz Mähr.</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CellMar>
        <w:top w:type="dxa" w:w="0"/>
        <w:left w:type="dxa" w:w="108"/>
        <w:bottom w:type="dxa" w:w="0"/>
        <w:right w:type="dxa" w:w="108"/>
      </w:tblCellMar>
    </w:tblPr>
    <w:trPr>
      <w:trHeight w:hRule="atLeast" w:val="510"/>
    </w:tr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lenses/02-representation.qmd" TargetMode="External" /><Relationship Type="http://schemas.openxmlformats.org/officeDocument/2006/relationships/hyperlink" Id="rId10" Target="https://creativecommons.org/licenses/by/4.0/" TargetMode="External" /></Relationships>
</file>

<file path=word/_rels/footnotes.xml.rels><?xml version="1.0" encoding="UTF-8"?><Relationships xmlns="http://schemas.openxmlformats.org/package/2006/relationships"><Relationship Type="http://schemas.openxmlformats.org/officeDocument/2006/relationships/hyperlink" Id="rId9" Target="../lenses/02-representation.qmd" TargetMode="External" /><Relationship Type="http://schemas.openxmlformats.org/officeDocument/2006/relationships/hyperlink" Id="rId10" Target="https://creativecommons.org/licenses/by/4.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Lens 2 worksheet: representation and harm pathway</dc:title>
  <dc:creator/>
  <dc:description>Follow a dataset or an image tool from its sources to its outputs. Mark who decides, what is selected and excluded, and which harm can enter.</dc:description>
  <dc:language>en-US</dc:language>
  <cp:keywords/>
  <dcterms:created xsi:type="dcterms:W3CDTF">2026-10-15T09:39:38Z</dcterms:created>
  <dcterms:modified xsi:type="dcterms:W3CDTF">2026-10-15T09:39:38Z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date-format">
    <vt:lpwstr>D MMMM YYYY</vt:lpwstr>
  </property>
  <property fmtid="{D5CDD505-2E9C-101B-9397-08002B2CF9AE}" pid="5" name="date-modified">
    <vt:lpwstr>15 October 2026</vt:lpwstr>
  </property>
  <property fmtid="{D5CDD505-2E9C-101B-9397-08002B2CF9AE}" pid="6" name="editions">
    <vt:lpwstr/>
  </property>
  <property fmtid="{D5CDD505-2E9C-101B-9397-08002B2CF9AE}" pid="7" name="editor">
    <vt:lpwstr>visual</vt:lpwstr>
  </property>
  <property fmtid="{D5CDD505-2E9C-101B-9397-08002B2CF9AE}" pid="8" name="featured_edition">
    <vt:lpwstr>hs2026</vt:lpwstr>
  </property>
  <property fmtid="{D5CDD505-2E9C-101B-9397-08002B2CF9AE}" pid="9" name="fontsize">
    <vt:lpwstr>10.5pt</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license">
    <vt:lpwstr/>
  </property>
  <property fmtid="{D5CDD505-2E9C-101B-9397-08002B2CF9AE}" pid="15" name="link-citations">
    <vt:lpwstr>False</vt:lpwstr>
  </property>
  <property fmtid="{D5CDD505-2E9C-101B-9397-08002B2CF9AE}" pid="16" name="mainfont">
    <vt:lpwstr>IBM Plex Sans</vt:lpwstr>
  </property>
  <property fmtid="{D5CDD505-2E9C-101B-9397-08002B2CF9AE}" pid="17" name="margin">
    <vt:lpwstr/>
  </property>
  <property fmtid="{D5CDD505-2E9C-101B-9397-08002B2CF9AE}" pid="18" name="papersize">
    <vt:lpwstr>a4</vt:lpwstr>
  </property>
  <property fmtid="{D5CDD505-2E9C-101B-9397-08002B2CF9AE}" pid="19" name="subtitle">
    <vt:lpwstr>Stochastic Parrots and Beyond · Lens 2 worksheet</vt:lpwstr>
  </property>
  <property fmtid="{D5CDD505-2E9C-101B-9397-08002B2CF9AE}" pid="20" name="suppress-bibliography">
    <vt:lpwstr>True</vt:lpwstr>
  </property>
  <property fmtid="{D5CDD505-2E9C-101B-9397-08002B2CF9AE}" pid="21" name="toc-title">
    <vt:lpwstr>Table of contents</vt:lpwstr>
  </property>
</Properties>
</file>