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Lens 3 worksheet: lifecycle risk matrix</w:t>
      </w:r>
    </w:p>
    <w:p>
      <w:pPr>
        <w:pStyle w:val="Subtitle"/>
      </w:pPr>
      <w:r>
        <w:t xml:space="preserve">Stochastic Parrots and Beyond · Lens 3 worksheet</w:t>
      </w:r>
    </w:p>
    <w:p>
      <w:pPr>
        <w:pStyle w:val="FirstParagraph"/>
      </w:pPr>
      <w:r>
        <w:rPr>
          <w:b/>
          <w:bCs/>
        </w:rPr>
        <w:t xml:space="preserve">Question:</w:t>
      </w:r>
      <w:r>
        <w:t xml:space="preserve"> </w:t>
      </w:r>
      <w:r>
        <w:t xml:space="preserve">Who does the work, carries the risk, or has no recourse?</w:t>
      </w:r>
    </w:p>
    <w:p>
      <w:pPr>
        <w:pStyle w:val="BodyText"/>
      </w:pPr>
      <w:r>
        <w:rPr>
          <w:b/>
          <w:bCs/>
        </w:rPr>
        <w:t xml:space="preserve">Task (15 minutes, groups of three or four):</w:t>
      </w:r>
      <w:r>
        <w:t xml:space="preserve"> </w:t>
      </w:r>
      <w:r>
        <w:t xml:space="preserve">Choose a system from a research-use description in your group. Use ChatGPT as in the case only if no description fits. For each stage, write who does the work, who carries the risk, and who has recourse. Mark the stage of highest risk and the stage where you have most influence. See the</w:t>
      </w:r>
      <w:r>
        <w:t xml:space="preserve"> </w:t>
      </w:r>
      <w:hyperlink r:id="rId9">
        <w:r>
          <w:rPr>
            <w:rStyle w:val="Hyperlink"/>
          </w:rPr>
          <w:t xml:space="preserve">Lens 3 page</w:t>
        </w:r>
      </w:hyperlink>
      <w:r>
        <w:t xml:space="preserve">.</w:t>
      </w:r>
    </w:p>
    <w:p>
      <w:pPr>
        <w:pStyle w:val="BodyText"/>
      </w:pPr>
      <w:r>
        <w:t xml:space="preserve">System: ______________________________________________</w:t>
      </w:r>
    </w:p>
    <w:p>
      <w:pPr>
        <w:pStyle w:val="TableCaption"/>
      </w:pPr>
      <w:r>
        <w:t xml:space="preserve">Lifecycle risk matrix</w:t>
      </w:r>
    </w:p>
    <w:tbl>
      <w:tblPr>
        <w:tblStyle w:val="Table"/>
        <w:tblW w:type="pct" w:w="5000"/>
        <w:tblLayout w:type="fixed"/>
        <w:tblLook w:firstRow="1" w:lastRow="0" w:firstColumn="0" w:lastColumn="0" w:noHBand="0" w:noVBand="0" w:val="0020"/>
        <w:tblCaption w:val="Lifecycle risk matrix"/>
      </w:tblPr>
      <w:tblGrid>
        <w:gridCol w:w="1267"/>
        <w:gridCol w:w="1108"/>
        <w:gridCol w:w="1108"/>
        <w:gridCol w:w="1108"/>
        <w:gridCol w:w="1108"/>
        <w:gridCol w:w="1108"/>
        <w:gridCol w:w="1108"/>
      </w:tblGrid>
      <w:tr>
        <w:trPr>
          <w:tblHeader w:val="on"/>
        </w:trPr>
        <w:tc>
          <w:tcPr/>
          <w:p>
            <w:pPr>
              <w:pStyle w:val="Compact"/>
            </w:pPr>
            <w:r>
              <w:t xml:space="preserve">Question</w:t>
            </w:r>
          </w:p>
        </w:tc>
        <w:tc>
          <w:tcPr/>
          <w:p>
            <w:pPr>
              <w:pStyle w:val="Compact"/>
            </w:pPr>
            <w:r>
              <w:t xml:space="preserve">Design</w:t>
            </w:r>
          </w:p>
        </w:tc>
        <w:tc>
          <w:tcPr/>
          <w:p>
            <w:pPr>
              <w:pStyle w:val="Compact"/>
            </w:pPr>
            <w:r>
              <w:t xml:space="preserve">Data</w:t>
            </w:r>
          </w:p>
        </w:tc>
        <w:tc>
          <w:tcPr/>
          <w:p>
            <w:pPr>
              <w:pStyle w:val="Compact"/>
            </w:pPr>
            <w:r>
              <w:t xml:space="preserve">Training</w:t>
            </w:r>
          </w:p>
        </w:tc>
        <w:tc>
          <w:tcPr/>
          <w:p>
            <w:pPr>
              <w:pStyle w:val="Compact"/>
            </w:pPr>
            <w:r>
              <w:t xml:space="preserve">Deployment</w:t>
            </w:r>
          </w:p>
        </w:tc>
        <w:tc>
          <w:tcPr/>
          <w:p>
            <w:pPr>
              <w:pStyle w:val="Compact"/>
            </w:pPr>
            <w:r>
              <w:t xml:space="preserve">Evaluation</w:t>
            </w:r>
          </w:p>
        </w:tc>
        <w:tc>
          <w:tcPr/>
          <w:p>
            <w:pPr>
              <w:pStyle w:val="Compact"/>
            </w:pPr>
            <w:r>
              <w:t xml:space="preserve">Governance</w:t>
            </w:r>
          </w:p>
        </w:tc>
      </w:tr>
      <w:tr>
        <w:tc>
          <w:tcPr/>
          <w:p>
            <w:pPr>
              <w:pStyle w:val="Compact"/>
            </w:pPr>
            <w:r>
              <w:t xml:space="preserve">Who does the work?</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Who carries the risk?</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Who has recourse?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Possible intervention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TableCaption"/>
      </w:pPr>
      <w:r>
        <w:t xml:space="preserve">Findings for the plenary</w:t>
      </w:r>
    </w:p>
    <w:tbl>
      <w:tblPr>
        <w:tblStyle w:val="Table"/>
        <w:tblW w:type="pct" w:w="5000"/>
        <w:tblLayout w:type="fixed"/>
        <w:tblLook w:firstRow="1" w:lastRow="0" w:firstColumn="0" w:lastColumn="0" w:noHBand="0" w:noVBand="0" w:val="0020"/>
        <w:tblCaption w:val="Findings for the plenary"/>
      </w:tblPr>
      <w:tblGrid>
        <w:gridCol w:w="2772"/>
        <w:gridCol w:w="5148"/>
      </w:tblGrid>
      <w:tr>
        <w:trPr>
          <w:tblHeader w:val="on"/>
        </w:trPr>
        <w:tc>
          <w:tcPr/>
          <w:p>
            <w:pPr>
              <w:pStyle w:val="Compact"/>
            </w:pPr>
            <w:r>
              <w:t xml:space="preserve">Finding</w:t>
            </w:r>
          </w:p>
        </w:tc>
        <w:tc>
          <w:tcPr/>
          <w:p>
            <w:pPr>
              <w:pStyle w:val="Compact"/>
            </w:pPr>
            <w:r>
              <w:t xml:space="preserve">Notes</w:t>
            </w:r>
          </w:p>
        </w:tc>
      </w:tr>
      <w:tr>
        <w:tc>
          <w:tcPr/>
          <w:p>
            <w:pPr>
              <w:pStyle w:val="Compact"/>
            </w:pPr>
            <w:r>
              <w:t xml:space="preserve">The stage of highest risk</w:t>
            </w:r>
          </w:p>
        </w:tc>
        <w:tc>
          <w:tcPr/>
          <w:p>
            <w:pPr>
              <w:pStyle w:val="Compact"/>
            </w:pPr>
          </w:p>
        </w:tc>
      </w:tr>
      <w:tr>
        <w:tc>
          <w:tcPr/>
          <w:p>
            <w:pPr>
              <w:pStyle w:val="Compact"/>
            </w:pPr>
            <w:r>
              <w:t xml:space="preserve">The stage where you have most influence</w:t>
            </w:r>
          </w:p>
        </w:tc>
        <w:tc>
          <w:tcPr/>
          <w:p>
            <w:pPr>
              <w:pStyle w:val="Compact"/>
            </w:pPr>
          </w:p>
        </w:tc>
      </w:tr>
      <w:tr>
        <w:tc>
          <w:tcPr/>
          <w:p>
            <w:pPr>
              <w:pStyle w:val="Compact"/>
            </w:pPr>
            <w:r>
              <w:t xml:space="preserve">One intervention at that stage</w:t>
            </w:r>
          </w:p>
        </w:tc>
        <w:tc>
          <w:tcPr/>
          <w:p>
            <w:pPr>
              <w:pStyle w:val="Compact"/>
            </w:pPr>
          </w:p>
        </w:tc>
      </w:tr>
    </w:tbl>
    <w:bookmarkStart w:id="11" w:name="transfer-to-the-shared-fields"/>
    <w:p>
      <w:pPr>
        <w:pStyle w:val="Heading2"/>
      </w:pPr>
      <w:r>
        <w:t xml:space="preserve">Transfer to the shared fields</w:t>
      </w:r>
    </w:p>
    <w:p>
      <w:pPr>
        <w:pStyle w:val="FirstParagraph"/>
      </w:pPr>
      <w:r>
        <w:t xml:space="preserve">Carry your main finding over to the twelve shared fields. You use them again in the research-use clinic.</w:t>
      </w:r>
    </w:p>
    <w:p>
      <w:pPr>
        <w:pStyle w:val="TableCaption"/>
      </w:pPr>
      <w:r>
        <w:t xml:space="preserve">The twelve shared worksheet fields</w:t>
      </w:r>
    </w:p>
    <w:tbl>
      <w:tblPr>
        <w:tblStyle w:val="Table"/>
        <w:tblW w:type="pct" w:w="5000"/>
        <w:tblLayout w:type="fixed"/>
        <w:tblLook w:firstRow="1" w:lastRow="0" w:firstColumn="0" w:lastColumn="0" w:noHBand="0" w:noVBand="0" w:val="0020"/>
        <w:tblCaption w:val="The twelve shared worksheet fields"/>
      </w:tblPr>
      <w:tblGrid>
        <w:gridCol w:w="2217"/>
        <w:gridCol w:w="5702"/>
      </w:tblGrid>
      <w:tr>
        <w:trPr>
          <w:tblHeader w:val="on"/>
        </w:trPr>
        <w:tc>
          <w:tcPr/>
          <w:p>
            <w:pPr>
              <w:pStyle w:val="Compact"/>
            </w:pPr>
            <w:r>
              <w:t xml:space="preserve">Field</w:t>
            </w:r>
          </w:p>
        </w:tc>
        <w:tc>
          <w:tcPr/>
          <w:p>
            <w:pPr>
              <w:pStyle w:val="Compact"/>
            </w:pPr>
            <w:r>
              <w:t xml:space="preserve">Notes</w:t>
            </w:r>
          </w:p>
        </w:tc>
      </w:tr>
      <w:tr>
        <w:tc>
          <w:tcPr/>
          <w:p>
            <w:pPr>
              <w:pStyle w:val="Compact"/>
            </w:pPr>
            <w:r>
              <w:t xml:space="preserve">Research use</w:t>
            </w:r>
          </w:p>
        </w:tc>
        <w:tc>
          <w:tcPr/>
          <w:p>
            <w:pPr>
              <w:pStyle w:val="Compact"/>
            </w:pPr>
          </w:p>
        </w:tc>
      </w:tr>
      <w:tr>
        <w:tc>
          <w:tcPr/>
          <w:p>
            <w:pPr>
              <w:pStyle w:val="Compact"/>
            </w:pPr>
            <w:r>
              <w:t xml:space="preserve">System or vendor</w:t>
            </w:r>
          </w:p>
        </w:tc>
        <w:tc>
          <w:tcPr/>
          <w:p>
            <w:pPr>
              <w:pStyle w:val="Compact"/>
            </w:pPr>
          </w:p>
        </w:tc>
      </w:tr>
      <w:tr>
        <w:tc>
          <w:tcPr/>
          <w:p>
            <w:pPr>
              <w:pStyle w:val="Compact"/>
            </w:pPr>
            <w:r>
              <w:t xml:space="preserve">Evidence source</w:t>
            </w:r>
          </w:p>
        </w:tc>
        <w:tc>
          <w:tcPr/>
          <w:p>
            <w:pPr>
              <w:pStyle w:val="Compact"/>
            </w:pPr>
          </w:p>
        </w:tc>
      </w:tr>
      <w:tr>
        <w:tc>
          <w:tcPr/>
          <w:p>
            <w:pPr>
              <w:pStyle w:val="Compact"/>
            </w:pPr>
            <w:r>
              <w:t xml:space="preserve">Lifecycle stage</w:t>
            </w:r>
          </w:p>
        </w:tc>
        <w:tc>
          <w:tcPr/>
          <w:p>
            <w:pPr>
              <w:pStyle w:val="Compact"/>
            </w:pPr>
          </w:p>
        </w:tc>
      </w:tr>
      <w:tr>
        <w:tc>
          <w:tcPr/>
          <w:p>
            <w:pPr>
              <w:pStyle w:val="Compact"/>
            </w:pPr>
            <w:r>
              <w:t xml:space="preserve">People affected</w:t>
            </w:r>
          </w:p>
        </w:tc>
        <w:tc>
          <w:tcPr/>
          <w:p>
            <w:pPr>
              <w:pStyle w:val="Compact"/>
            </w:pPr>
          </w:p>
        </w:tc>
      </w:tr>
      <w:tr>
        <w:tc>
          <w:tcPr/>
          <w:p>
            <w:pPr>
              <w:pStyle w:val="Compact"/>
            </w:pPr>
            <w:r>
              <w:t xml:space="preserve">Risk or benefit</w:t>
            </w:r>
          </w:p>
        </w:tc>
        <w:tc>
          <w:tcPr/>
          <w:p>
            <w:pPr>
              <w:pStyle w:val="Compact"/>
            </w:pPr>
          </w:p>
        </w:tc>
      </w:tr>
      <w:tr>
        <w:tc>
          <w:tcPr/>
          <w:p>
            <w:pPr>
              <w:pStyle w:val="Compact"/>
            </w:pPr>
            <w:r>
              <w:t xml:space="preserve">Severity and uncertainty</w:t>
            </w:r>
          </w:p>
        </w:tc>
        <w:tc>
          <w:tcPr/>
          <w:p>
            <w:pPr>
              <w:pStyle w:val="Compact"/>
            </w:pPr>
          </w:p>
        </w:tc>
      </w:tr>
      <w:tr>
        <w:tc>
          <w:tcPr/>
          <w:p>
            <w:pPr>
              <w:pStyle w:val="Compact"/>
            </w:pPr>
            <w:r>
              <w:t xml:space="preserve">Existing mitigation</w:t>
            </w:r>
          </w:p>
        </w:tc>
        <w:tc>
          <w:tcPr/>
          <w:p>
            <w:pPr>
              <w:pStyle w:val="Compact"/>
            </w:pPr>
          </w:p>
        </w:tc>
      </w:tr>
      <w:tr>
        <w:tc>
          <w:tcPr/>
          <w:p>
            <w:pPr>
              <w:pStyle w:val="Compact"/>
            </w:pPr>
            <w:r>
              <w:t xml:space="preserve">Possible alternative</w:t>
            </w:r>
          </w:p>
        </w:tc>
        <w:tc>
          <w:tcPr/>
          <w:p>
            <w:pPr>
              <w:pStyle w:val="Compact"/>
            </w:pPr>
          </w:p>
        </w:tc>
      </w:tr>
      <w:tr>
        <w:tc>
          <w:tcPr/>
          <w:p>
            <w:pPr>
              <w:pStyle w:val="Compact"/>
            </w:pPr>
            <w:r>
              <w:t xml:space="preserve">Disclosure requirement</w:t>
            </w:r>
          </w:p>
        </w:tc>
        <w:tc>
          <w:tcPr/>
          <w:p>
            <w:pPr>
              <w:pStyle w:val="Compact"/>
            </w:pPr>
          </w:p>
        </w:tc>
      </w:tr>
      <w:tr>
        <w:tc>
          <w:tcPr/>
          <w:p>
            <w:pPr>
              <w:pStyle w:val="Compact"/>
            </w:pPr>
            <w:r>
              <w:t xml:space="preserve">Institutional owner</w:t>
            </w:r>
          </w:p>
        </w:tc>
        <w:tc>
          <w:tcPr/>
          <w:p>
            <w:pPr>
              <w:pStyle w:val="Compact"/>
            </w:pPr>
          </w:p>
        </w:tc>
      </w:tr>
      <w:tr>
        <w:tc>
          <w:tcPr/>
          <w:p>
            <w:pPr>
              <w:pStyle w:val="Compact"/>
            </w:pPr>
            <w:r>
              <w:t xml:space="preserve">Next action</w:t>
            </w:r>
          </w:p>
        </w:tc>
        <w:tc>
          <w:tcPr/>
          <w:p>
            <w:pPr>
              <w:pStyle w:val="Compact"/>
            </w:pPr>
          </w:p>
        </w:tc>
      </w:tr>
    </w:tbl>
    <w:p>
      <w:pPr>
        <w:pStyle w:val="BodyText"/>
      </w:pPr>
      <w:r>
        <w:t xml:space="preserve">Original handout,</w:t>
      </w:r>
      <w:r>
        <w:t xml:space="preserve"> </w:t>
      </w:r>
      <w:hyperlink r:id="rId10">
        <w:r>
          <w:rPr>
            <w:rStyle w:val="Hyperlink"/>
          </w:rPr>
          <w:t xml:space="preserve">CC BY 4.0</w:t>
        </w:r>
      </w:hyperlink>
      <w:r>
        <w:t xml:space="preserve"> </w:t>
      </w:r>
      <w:r>
        <w:t xml:space="preserve">· Stochastic Parrots and Beyond, Laura Wagner and Moritz Mähr.</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0"/>
        <w:left w:type="dxa" w:w="108"/>
        <w:bottom w:type="dxa" w:w="0"/>
        <w:right w:type="dxa" w:w="108"/>
      </w:tblCellMar>
    </w:tblPr>
    <w:trPr>
      <w:trHeight w:hRule="atLeast" w:val="510"/>
    </w:tr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lenses/03-lifecycle-labor.qmd" TargetMode="External" /><Relationship Type="http://schemas.openxmlformats.org/officeDocument/2006/relationships/hyperlink" Id="rId10" Target="https://creativecommons.org/licenses/by/4.0/" TargetMode="External" /></Relationships>
</file>

<file path=word/_rels/footnotes.xml.rels><?xml version="1.0" encoding="UTF-8"?><Relationships xmlns="http://schemas.openxmlformats.org/package/2006/relationships"><Relationship Type="http://schemas.openxmlformats.org/officeDocument/2006/relationships/hyperlink" Id="rId9" Target="../lenses/03-lifecycle-labor.qmd" TargetMode="External" /><Relationship Type="http://schemas.openxmlformats.org/officeDocument/2006/relationships/hyperlink" Id="rId10" Target="https://creativecommons.org/licenses/by/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Lens 3 worksheet: lifecycle risk matrix</dc:title>
  <dc:creator/>
  <dc:description>For each of the six lifecycle stages, note who works, who carries the risk, and who has recourse.</dc:description>
  <dc:language>en-US</dc:language>
  <cp:keywords/>
  <dcterms:created xsi:type="dcterms:W3CDTF">2026-10-15T09:39:40Z</dcterms:created>
  <dcterms:modified xsi:type="dcterms:W3CDTF">2026-10-15T09:39:40Z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date-format">
    <vt:lpwstr>D MMMM YYYY</vt:lpwstr>
  </property>
  <property fmtid="{D5CDD505-2E9C-101B-9397-08002B2CF9AE}" pid="5" name="date-modified">
    <vt:lpwstr>15 October 2026</vt:lpwstr>
  </property>
  <property fmtid="{D5CDD505-2E9C-101B-9397-08002B2CF9AE}" pid="6" name="editions">
    <vt:lpwstr/>
  </property>
  <property fmtid="{D5CDD505-2E9C-101B-9397-08002B2CF9AE}" pid="7" name="editor">
    <vt:lpwstr>visual</vt:lpwstr>
  </property>
  <property fmtid="{D5CDD505-2E9C-101B-9397-08002B2CF9AE}" pid="8" name="featured_edition">
    <vt:lpwstr>hs2026</vt:lpwstr>
  </property>
  <property fmtid="{D5CDD505-2E9C-101B-9397-08002B2CF9AE}" pid="9" name="fontsize">
    <vt:lpwstr>10.5pt</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cense">
    <vt:lpwstr/>
  </property>
  <property fmtid="{D5CDD505-2E9C-101B-9397-08002B2CF9AE}" pid="15" name="link-citations">
    <vt:lpwstr>False</vt:lpwstr>
  </property>
  <property fmtid="{D5CDD505-2E9C-101B-9397-08002B2CF9AE}" pid="16" name="mainfont">
    <vt:lpwstr>IBM Plex Sans</vt:lpwstr>
  </property>
  <property fmtid="{D5CDD505-2E9C-101B-9397-08002B2CF9AE}" pid="17" name="margin">
    <vt:lpwstr/>
  </property>
  <property fmtid="{D5CDD505-2E9C-101B-9397-08002B2CF9AE}" pid="18" name="papersize">
    <vt:lpwstr>a4</vt:lpwstr>
  </property>
  <property fmtid="{D5CDD505-2E9C-101B-9397-08002B2CF9AE}" pid="19" name="subtitle">
    <vt:lpwstr>Stochastic Parrots and Beyond · Lens 3 worksheet</vt:lpwstr>
  </property>
  <property fmtid="{D5CDD505-2E9C-101B-9397-08002B2CF9AE}" pid="20" name="suppress-bibliography">
    <vt:lpwstr>True</vt:lpwstr>
  </property>
  <property fmtid="{D5CDD505-2E9C-101B-9397-08002B2CF9AE}" pid="21" name="toc-title">
    <vt:lpwstr>Table of contents</vt:lpwstr>
  </property>
</Properties>
</file>